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82" w:rsidRPr="00230127" w:rsidRDefault="00732E82" w:rsidP="00732E82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016-1-PL01-KA202-026592</w:t>
      </w:r>
    </w:p>
    <w:p w:rsidR="00732E82" w:rsidRPr="00230127" w:rsidRDefault="00732E82" w:rsidP="00732E82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İş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Tabanlı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Öğrenmenin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Mesleki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Eğitim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Üçgeni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Aracılığıyla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>Geliştirilmesi</w:t>
      </w:r>
      <w:proofErr w:type="spellEnd"/>
      <w:r w:rsidRPr="00230127">
        <w:rPr>
          <w:rFonts w:cs="Ubuntu Light"/>
          <w:b/>
          <w:bCs/>
          <w:color w:val="000000"/>
          <w:sz w:val="28"/>
          <w:szCs w:val="28"/>
          <w:lang w:val="en-US"/>
        </w:rPr>
        <w:t xml:space="preserve"> </w:t>
      </w:r>
    </w:p>
    <w:p w:rsidR="00732E82" w:rsidRPr="00230127" w:rsidRDefault="00732E82" w:rsidP="00732E82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36"/>
          <w:szCs w:val="36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36"/>
          <w:szCs w:val="36"/>
          <w:lang w:val="en-US"/>
        </w:rPr>
        <w:t>VETriangle</w:t>
      </w:r>
      <w:proofErr w:type="spellEnd"/>
    </w:p>
    <w:p w:rsidR="00732E82" w:rsidRPr="00230127" w:rsidRDefault="00732E82" w:rsidP="00732E82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32"/>
          <w:szCs w:val="32"/>
          <w:lang w:val="en-US"/>
        </w:rPr>
      </w:pPr>
      <w:proofErr w:type="spellStart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Fikri</w:t>
      </w:r>
      <w:proofErr w:type="spellEnd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Çıktı</w:t>
      </w:r>
      <w:proofErr w:type="spellEnd"/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 xml:space="preserve"> </w:t>
      </w:r>
      <w:r>
        <w:rPr>
          <w:rFonts w:cs="Ubuntu Light"/>
          <w:b/>
          <w:bCs/>
          <w:color w:val="000000"/>
          <w:sz w:val="32"/>
          <w:szCs w:val="32"/>
          <w:lang w:val="en-US"/>
        </w:rPr>
        <w:t>1</w:t>
      </w:r>
      <w:r w:rsidRPr="00230127">
        <w:rPr>
          <w:rFonts w:cs="Ubuntu Light"/>
          <w:b/>
          <w:bCs/>
          <w:color w:val="000000"/>
          <w:sz w:val="32"/>
          <w:szCs w:val="32"/>
          <w:lang w:val="en-US"/>
        </w:rPr>
        <w:t>-Özet</w:t>
      </w:r>
    </w:p>
    <w:p w:rsidR="00732E82" w:rsidRPr="00230127" w:rsidRDefault="00732E82" w:rsidP="00732E82">
      <w:pPr>
        <w:autoSpaceDE w:val="0"/>
        <w:autoSpaceDN w:val="0"/>
        <w:adjustRightInd w:val="0"/>
        <w:spacing w:before="240" w:after="0" w:line="276" w:lineRule="auto"/>
        <w:jc w:val="center"/>
        <w:rPr>
          <w:rFonts w:cs="Ubuntu Light"/>
          <w:b/>
          <w:bCs/>
          <w:color w:val="000000"/>
          <w:sz w:val="28"/>
          <w:szCs w:val="28"/>
          <w:lang w:val="en-US"/>
        </w:rPr>
      </w:pPr>
      <w:r>
        <w:rPr>
          <w:rFonts w:cs="Ubuntu Light"/>
          <w:b/>
          <w:bCs/>
          <w:color w:val="000000"/>
          <w:sz w:val="28"/>
          <w:szCs w:val="28"/>
          <w:lang w:val="en-US"/>
        </w:rPr>
        <w:t>MESLEKİ EĞİTİM ÜÇGENİNİ GELİŞTİRMEK AMACIYLA KAPASİTE GELİŞTİRME</w:t>
      </w:r>
      <w:bookmarkStart w:id="0" w:name="_GoBack"/>
      <w:bookmarkEnd w:id="0"/>
    </w:p>
    <w:p w:rsidR="00732E82" w:rsidRPr="00230127" w:rsidRDefault="00732E82" w:rsidP="00732E82">
      <w:pPr>
        <w:rPr>
          <w:rFonts w:cs="Arial"/>
          <w:szCs w:val="24"/>
          <w:lang w:val="en-US"/>
        </w:rPr>
      </w:pPr>
    </w:p>
    <w:p w:rsidR="00E75166" w:rsidRPr="00E75166" w:rsidRDefault="00E75166" w:rsidP="009A3B76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VETriangle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projesinin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ilk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fikri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çıktısı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proje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ortağı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ülkelerdeki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sistemlerini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inceleyerek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mes</w:t>
      </w:r>
      <w:r>
        <w:rPr>
          <w:rFonts w:asciiTheme="minorHAnsi" w:hAnsiTheme="minorHAnsi"/>
          <w:sz w:val="22"/>
          <w:szCs w:val="22"/>
          <w:lang w:val="en-US"/>
        </w:rPr>
        <w:t>leki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uygulamaları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hakkı</w:t>
      </w:r>
      <w:r>
        <w:rPr>
          <w:rFonts w:asciiTheme="minorHAnsi" w:hAnsiTheme="minorHAnsi"/>
          <w:sz w:val="22"/>
          <w:szCs w:val="22"/>
          <w:lang w:val="en-US"/>
        </w:rPr>
        <w:t>nda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fazla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bilgi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edinmeye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odaklanmıştır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Her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eğitim</w:t>
      </w:r>
      <w:r>
        <w:rPr>
          <w:rFonts w:asciiTheme="minorHAnsi" w:hAnsiTheme="minorHAnsi"/>
          <w:sz w:val="22"/>
          <w:szCs w:val="22"/>
          <w:lang w:val="en-US"/>
        </w:rPr>
        <w:t>de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kendi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benzersiz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uygulamasına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sahiptir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oturmuş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yapıdayken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diğerleri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ise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güçlü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yaklaşım</w:t>
      </w:r>
      <w:r w:rsidR="001210CE">
        <w:rPr>
          <w:rFonts w:asciiTheme="minorHAnsi" w:hAnsiTheme="minorHAnsi"/>
          <w:sz w:val="22"/>
          <w:szCs w:val="22"/>
          <w:lang w:val="en-US"/>
        </w:rPr>
        <w:t>ın</w:t>
      </w:r>
      <w:r w:rsidRPr="00E75166">
        <w:rPr>
          <w:rFonts w:asciiTheme="minorHAnsi" w:hAnsiTheme="minorHAnsi"/>
          <w:sz w:val="22"/>
          <w:szCs w:val="22"/>
          <w:lang w:val="en-US"/>
        </w:rPr>
        <w:t>dan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yoksundur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1210CE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fikri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çıktının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ana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odağı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sistemlerinde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hangi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ortakların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rolü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olduğu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söz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konusu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rollerinin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nasıl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güçlendirilebileğiydi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>.</w:t>
      </w:r>
      <w:r w:rsidRPr="00E75166">
        <w:rPr>
          <w:rFonts w:asciiTheme="minorHAnsi" w:hAnsiTheme="minorHAnsi"/>
          <w:sz w:val="22"/>
          <w:szCs w:val="22"/>
          <w:lang w:val="en-US"/>
        </w:rPr>
        <w:t xml:space="preserve"> Bu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odaklanmanın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nedeni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ortakların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güçlü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şekilde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ka</w:t>
      </w:r>
      <w:r w:rsidR="001210CE">
        <w:rPr>
          <w:rFonts w:asciiTheme="minorHAnsi" w:hAnsiTheme="minorHAnsi"/>
          <w:sz w:val="22"/>
          <w:szCs w:val="22"/>
          <w:lang w:val="en-US"/>
        </w:rPr>
        <w:t>tılımının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güçlendirebilecek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olmasıdır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>.</w:t>
      </w:r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İşçi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sendikaları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işverenler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dernekler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gibi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ortaklar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MEÖ'de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yer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alıyorsa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beceri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açıklarına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müdahale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etmek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iş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piyasasının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ihtiyaçlarına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uygun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gerçekçi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sunmak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daha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kolaydır</w:t>
      </w:r>
      <w:proofErr w:type="spellEnd"/>
      <w:r w:rsidRPr="00E75166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E75166">
        <w:rPr>
          <w:rFonts w:asciiTheme="minorHAnsi" w:hAnsiTheme="minorHAnsi"/>
          <w:sz w:val="22"/>
          <w:szCs w:val="22"/>
          <w:lang w:val="en-US"/>
        </w:rPr>
        <w:t>Çıkt</w:t>
      </w:r>
      <w:r w:rsidR="001210CE">
        <w:rPr>
          <w:rFonts w:asciiTheme="minorHAnsi" w:hAnsiTheme="minorHAnsi"/>
          <w:sz w:val="22"/>
          <w:szCs w:val="22"/>
          <w:lang w:val="en-US"/>
        </w:rPr>
        <w:t>ının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odaklandığı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alanlar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210CE">
        <w:rPr>
          <w:rFonts w:asciiTheme="minorHAnsi" w:hAnsiTheme="minorHAnsi"/>
          <w:sz w:val="22"/>
          <w:szCs w:val="22"/>
          <w:lang w:val="en-US"/>
        </w:rPr>
        <w:t>şunlardır</w:t>
      </w:r>
      <w:proofErr w:type="spellEnd"/>
      <w:r w:rsidR="001210CE"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:rsidR="00750888" w:rsidRDefault="00FE0C01" w:rsidP="00FD085D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ortaklarla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birlikte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genel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bakış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085D" w:rsidRPr="00FD085D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FD085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25EE6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, her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ülkede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eğitime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dahil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olan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ortaklar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5EE6">
        <w:rPr>
          <w:rFonts w:asciiTheme="minorHAnsi" w:hAnsiTheme="minorHAnsi"/>
          <w:sz w:val="22"/>
          <w:szCs w:val="22"/>
          <w:lang w:val="en-US"/>
        </w:rPr>
        <w:t>hakkında</w:t>
      </w:r>
      <w:proofErr w:type="spellEnd"/>
      <w:r w:rsidR="00E25E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bilgi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vermektedir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Çırakların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bakış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açısından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hazırlanarak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ortaklara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60818">
        <w:rPr>
          <w:rFonts w:asciiTheme="minorHAnsi" w:hAnsiTheme="minorHAnsi"/>
          <w:sz w:val="22"/>
          <w:szCs w:val="22"/>
          <w:lang w:val="en-US"/>
        </w:rPr>
        <w:t>odaklanmıştır</w:t>
      </w:r>
      <w:proofErr w:type="spellEnd"/>
      <w:r w:rsidR="00A6081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FD085D" w:rsidRDefault="0074310B" w:rsidP="00FD085D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Detaylar</w:t>
      </w:r>
      <w:proofErr w:type="spellEnd"/>
      <w:r w:rsidR="00FD085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085D" w:rsidRPr="00FD085D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FD08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ortakların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rolüne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göre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ülkelere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özgü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spesifik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detaylar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yapısının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özellikleri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sunulmuştur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74310B" w:rsidRDefault="0074310B" w:rsidP="0074310B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FD085D"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085D" w:rsidRPr="00FD085D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FD085D"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4310B">
        <w:rPr>
          <w:rFonts w:asciiTheme="minorHAnsi" w:hAnsiTheme="minorHAnsi"/>
          <w:sz w:val="22"/>
          <w:szCs w:val="22"/>
          <w:lang w:val="en-US"/>
        </w:rPr>
        <w:t xml:space="preserve">İlk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çıktı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unsurlarını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içeren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seçenekleri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ilgili</w:t>
      </w:r>
      <w:proofErr w:type="spellEnd"/>
      <w:r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4310B">
        <w:rPr>
          <w:rFonts w:asciiTheme="minorHAnsi" w:hAnsiTheme="minorHAnsi"/>
          <w:sz w:val="22"/>
          <w:szCs w:val="22"/>
          <w:lang w:val="en-US"/>
        </w:rPr>
        <w:t>t</w:t>
      </w:r>
      <w:r>
        <w:rPr>
          <w:rFonts w:asciiTheme="minorHAnsi" w:hAnsiTheme="minorHAnsi"/>
          <w:sz w:val="22"/>
          <w:szCs w:val="22"/>
          <w:lang w:val="en-US"/>
        </w:rPr>
        <w:t>emel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bilgilerini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açıklamaktadır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FD085D" w:rsidRPr="0074310B" w:rsidRDefault="0074310B" w:rsidP="0074310B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Eğitimi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kim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veriyor</w:t>
      </w:r>
      <w:proofErr w:type="spellEnd"/>
      <w:r w:rsidR="00FD085D" w:rsidRPr="0074310B">
        <w:rPr>
          <w:rFonts w:asciiTheme="minorHAnsi" w:hAnsiTheme="minorHAnsi"/>
          <w:sz w:val="22"/>
          <w:szCs w:val="22"/>
          <w:lang w:val="en-US"/>
        </w:rPr>
        <w:t xml:space="preserve">? </w:t>
      </w:r>
      <w:r w:rsidR="00FD085D" w:rsidRPr="00FD085D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FD085D" w:rsidRPr="0074310B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faaliyeti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yürütücülerine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odaklanmıştır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Her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sistemde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özgü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sağlayıcıları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bulunmaktadır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durumlarda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teorik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pratik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ikiye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ayrılmış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durumdadırlar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kamu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ise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özeldir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Bu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ortaklarla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bağlantı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açısından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da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önemlidir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çünkü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firmalar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her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sistemde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12C8B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12C8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12C8B">
        <w:rPr>
          <w:rFonts w:asciiTheme="minorHAnsi" w:hAnsiTheme="minorHAnsi"/>
          <w:sz w:val="22"/>
          <w:szCs w:val="22"/>
          <w:lang w:val="en-US"/>
        </w:rPr>
        <w:t>faaliyetine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dahil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değildir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B95C92" w:rsidRDefault="00B95C92" w:rsidP="00B95C92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Hedef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grup</w:t>
      </w:r>
      <w:proofErr w:type="spellEnd"/>
      <w:r w:rsidR="00FD085D"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085D" w:rsidRPr="00FD085D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FD085D"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B95C92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hangi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hedef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gruplara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hitap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edildiğini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işsizler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veya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diğer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gruplar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özel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seçenekleri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olup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olmadığına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işaret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95C92">
        <w:rPr>
          <w:rFonts w:asciiTheme="minorHAnsi" w:hAnsiTheme="minorHAnsi"/>
          <w:sz w:val="22"/>
          <w:szCs w:val="22"/>
          <w:lang w:val="en-US"/>
        </w:rPr>
        <w:t>etmektedir</w:t>
      </w:r>
      <w:proofErr w:type="spellEnd"/>
      <w:r w:rsidRPr="00B95C92">
        <w:rPr>
          <w:rFonts w:asciiTheme="minorHAnsi" w:hAnsiTheme="minorHAnsi"/>
          <w:sz w:val="22"/>
          <w:szCs w:val="22"/>
          <w:lang w:val="en-US"/>
        </w:rPr>
        <w:t>.</w:t>
      </w:r>
    </w:p>
    <w:p w:rsidR="00132C2C" w:rsidRDefault="00815C91" w:rsidP="00132C2C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32C2C">
        <w:rPr>
          <w:rFonts w:asciiTheme="minorHAnsi" w:hAnsiTheme="minorHAnsi"/>
          <w:sz w:val="22"/>
          <w:szCs w:val="22"/>
          <w:lang w:val="en-US"/>
        </w:rPr>
        <w:t>Müfredat</w:t>
      </w:r>
      <w:proofErr w:type="spellEnd"/>
      <w:r w:rsidRPr="00132C2C">
        <w:rPr>
          <w:rFonts w:asciiTheme="minorHAnsi" w:hAnsiTheme="minorHAnsi"/>
          <w:sz w:val="22"/>
          <w:szCs w:val="22"/>
          <w:lang w:val="en-US"/>
        </w:rPr>
        <w:t xml:space="preserve">/ </w:t>
      </w:r>
      <w:proofErr w:type="spellStart"/>
      <w:r w:rsidRPr="00132C2C">
        <w:rPr>
          <w:rFonts w:asciiTheme="minorHAnsi" w:hAnsiTheme="minorHAnsi"/>
          <w:sz w:val="22"/>
          <w:szCs w:val="22"/>
          <w:lang w:val="en-US"/>
        </w:rPr>
        <w:t>Sertifikasyon</w:t>
      </w:r>
      <w:proofErr w:type="spellEnd"/>
      <w:r w:rsidRPr="00132C2C">
        <w:rPr>
          <w:rFonts w:asciiTheme="minorHAnsi" w:hAnsiTheme="minorHAnsi"/>
          <w:sz w:val="22"/>
          <w:szCs w:val="22"/>
          <w:lang w:val="en-US"/>
        </w:rPr>
        <w:t xml:space="preserve">/ </w:t>
      </w:r>
      <w:proofErr w:type="spellStart"/>
      <w:r w:rsidRPr="00132C2C">
        <w:rPr>
          <w:rFonts w:asciiTheme="minorHAnsi" w:hAnsiTheme="minorHAnsi"/>
          <w:sz w:val="22"/>
          <w:szCs w:val="22"/>
          <w:lang w:val="en-US"/>
        </w:rPr>
        <w:t>Değerlendirme</w:t>
      </w:r>
      <w:proofErr w:type="spellEnd"/>
      <w:r w:rsidRPr="00132C2C">
        <w:rPr>
          <w:rFonts w:asciiTheme="minorHAnsi" w:hAnsiTheme="minorHAnsi"/>
          <w:sz w:val="22"/>
          <w:szCs w:val="22"/>
          <w:lang w:val="en-US"/>
        </w:rPr>
        <w:t xml:space="preserve">/ </w:t>
      </w:r>
      <w:proofErr w:type="spellStart"/>
      <w:r w:rsidRPr="00132C2C">
        <w:rPr>
          <w:rFonts w:asciiTheme="minorHAnsi" w:hAnsiTheme="minorHAnsi"/>
          <w:sz w:val="22"/>
          <w:szCs w:val="22"/>
          <w:lang w:val="en-US"/>
        </w:rPr>
        <w:t>Mordernizasyon</w:t>
      </w:r>
      <w:proofErr w:type="spellEnd"/>
      <w:r w:rsidR="00C81011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C81011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eğitiminin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modernizasyonu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>
        <w:rPr>
          <w:rFonts w:asciiTheme="minorHAnsi" w:hAnsiTheme="minorHAnsi"/>
          <w:sz w:val="22"/>
          <w:szCs w:val="22"/>
          <w:lang w:val="en-US"/>
        </w:rPr>
        <w:t>modifikasyonu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önemlidir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Sistemin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modernizasyonu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hız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s</w:t>
      </w:r>
      <w:r w:rsidR="00132C2C">
        <w:rPr>
          <w:rFonts w:asciiTheme="minorHAnsi" w:hAnsiTheme="minorHAnsi"/>
          <w:sz w:val="22"/>
          <w:szCs w:val="22"/>
          <w:lang w:val="en-US"/>
        </w:rPr>
        <w:t>üreçleri</w:t>
      </w:r>
      <w:proofErr w:type="spellEnd"/>
      <w:r w:rsid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>
        <w:rPr>
          <w:rFonts w:asciiTheme="minorHAnsi" w:hAnsiTheme="minorHAnsi"/>
          <w:sz w:val="22"/>
          <w:szCs w:val="22"/>
          <w:lang w:val="en-US"/>
        </w:rPr>
        <w:t>hakkında</w:t>
      </w:r>
      <w:proofErr w:type="spellEnd"/>
      <w:r w:rsid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>
        <w:rPr>
          <w:rFonts w:asciiTheme="minorHAnsi" w:hAnsiTheme="minorHAnsi"/>
          <w:sz w:val="22"/>
          <w:szCs w:val="22"/>
          <w:lang w:val="en-US"/>
        </w:rPr>
        <w:t>bilgi</w:t>
      </w:r>
      <w:proofErr w:type="spellEnd"/>
      <w:r w:rsid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>
        <w:rPr>
          <w:rFonts w:asciiTheme="minorHAnsi" w:hAnsiTheme="minorHAnsi"/>
          <w:sz w:val="22"/>
          <w:szCs w:val="22"/>
          <w:lang w:val="en-US"/>
        </w:rPr>
        <w:lastRenderedPageBreak/>
        <w:t>içermektedir</w:t>
      </w:r>
      <w:proofErr w:type="spellEnd"/>
      <w:r w:rsidR="00132C2C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Değişen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işgücü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piyasası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talepleri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modernizasyonu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konusunda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63409">
        <w:rPr>
          <w:rFonts w:asciiTheme="minorHAnsi" w:hAnsiTheme="minorHAnsi"/>
          <w:sz w:val="22"/>
          <w:szCs w:val="22"/>
          <w:lang w:val="en-US"/>
        </w:rPr>
        <w:t>adım</w:t>
      </w:r>
      <w:proofErr w:type="spellEnd"/>
      <w:r w:rsidR="00763409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63409">
        <w:rPr>
          <w:rFonts w:asciiTheme="minorHAnsi" w:hAnsiTheme="minorHAnsi"/>
          <w:sz w:val="22"/>
          <w:szCs w:val="22"/>
          <w:lang w:val="en-US"/>
        </w:rPr>
        <w:t>atabilmek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63409">
        <w:rPr>
          <w:rFonts w:asciiTheme="minorHAnsi" w:hAnsiTheme="minorHAnsi"/>
          <w:sz w:val="22"/>
          <w:szCs w:val="22"/>
          <w:lang w:val="en-US"/>
        </w:rPr>
        <w:t>açısından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bu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32C2C" w:rsidRPr="00132C2C">
        <w:rPr>
          <w:rFonts w:asciiTheme="minorHAnsi" w:hAnsiTheme="minorHAnsi"/>
          <w:sz w:val="22"/>
          <w:szCs w:val="22"/>
          <w:lang w:val="en-US"/>
        </w:rPr>
        <w:t>önemlidir</w:t>
      </w:r>
      <w:proofErr w:type="spellEnd"/>
      <w:r w:rsidR="00132C2C" w:rsidRPr="00132C2C">
        <w:rPr>
          <w:rFonts w:asciiTheme="minorHAnsi" w:hAnsiTheme="minorHAnsi"/>
          <w:sz w:val="22"/>
          <w:szCs w:val="22"/>
          <w:lang w:val="en-US"/>
        </w:rPr>
        <w:t>.</w:t>
      </w:r>
      <w:r w:rsidR="0076340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D085D" w:rsidRPr="00132C2C" w:rsidRDefault="00206115" w:rsidP="00132C2C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İş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tabanlı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öğrenme</w:t>
      </w:r>
      <w:proofErr w:type="spellEnd"/>
      <w:r w:rsidR="00C81011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C81011" w:rsidRPr="00132C2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54EB0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iş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tabanlı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öğrenmenin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sistemlerinde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hangi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ölçüde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yer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aldığını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54EB0">
        <w:rPr>
          <w:rFonts w:asciiTheme="minorHAnsi" w:hAnsiTheme="minorHAnsi"/>
          <w:sz w:val="22"/>
          <w:szCs w:val="22"/>
          <w:lang w:val="en-US"/>
        </w:rPr>
        <w:t>incelemektedir</w:t>
      </w:r>
      <w:proofErr w:type="spellEnd"/>
      <w:r w:rsidR="00254EB0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FD085D" w:rsidRDefault="00954ED5" w:rsidP="00954ED5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Toplumsal</w:t>
      </w:r>
      <w:proofErr w:type="spellEnd"/>
      <w:r w:rsidR="00B25CB4">
        <w:rPr>
          <w:rFonts w:asciiTheme="minorHAnsi" w:hAnsiTheme="minorHAnsi"/>
          <w:sz w:val="22"/>
          <w:szCs w:val="22"/>
          <w:lang w:val="en-US"/>
        </w:rPr>
        <w:t xml:space="preserve"> Kabul</w:t>
      </w:r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Pr="00954ED5"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Toplumsal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954ED5">
        <w:rPr>
          <w:rFonts w:asciiTheme="minorHAnsi" w:hAnsiTheme="minorHAnsi"/>
          <w:sz w:val="22"/>
          <w:szCs w:val="22"/>
          <w:lang w:val="en-US"/>
        </w:rPr>
        <w:t>kabul</w:t>
      </w:r>
      <w:proofErr w:type="spellEnd"/>
      <w:proofErr w:type="gramEnd"/>
      <w:r w:rsidRPr="00954ED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başarılı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mesleki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sistemi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kilit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öneme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sahip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omasının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yanı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sıra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temel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engel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de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olabilir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Örneğin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Almanya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gibi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ülkelerde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sistem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iyi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çalış</w:t>
      </w:r>
      <w:r>
        <w:rPr>
          <w:rFonts w:asciiTheme="minorHAnsi" w:hAnsiTheme="minorHAnsi"/>
          <w:sz w:val="22"/>
          <w:szCs w:val="22"/>
          <w:lang w:val="en-US"/>
        </w:rPr>
        <w:t>maktadır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çünkü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uzun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geleneğe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sahip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oturmuş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durumdadır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. Bu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faktörün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ölçülmesi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zor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olmakla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birlikte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büyük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etkisi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54ED5">
        <w:rPr>
          <w:rFonts w:asciiTheme="minorHAnsi" w:hAnsiTheme="minorHAnsi"/>
          <w:sz w:val="22"/>
          <w:szCs w:val="22"/>
          <w:lang w:val="en-US"/>
        </w:rPr>
        <w:t>vardır</w:t>
      </w:r>
      <w:proofErr w:type="spellEnd"/>
      <w:r w:rsidRPr="00954ED5">
        <w:rPr>
          <w:rFonts w:asciiTheme="minorHAnsi" w:hAnsiTheme="minorHAnsi"/>
          <w:sz w:val="22"/>
          <w:szCs w:val="22"/>
          <w:lang w:val="en-US"/>
        </w:rPr>
        <w:t>.</w:t>
      </w:r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D085D" w:rsidRDefault="00390230" w:rsidP="00953C67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Sorunlar</w:t>
      </w:r>
      <w:proofErr w:type="spellEnd"/>
      <w:r w:rsidR="00FD085D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Zorluklar</w:t>
      </w:r>
      <w:proofErr w:type="spellEnd"/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sistemlerde</w:t>
      </w:r>
      <w:r w:rsidR="00953C67">
        <w:rPr>
          <w:rFonts w:asciiTheme="minorHAnsi" w:hAnsiTheme="minorHAnsi"/>
          <w:sz w:val="22"/>
          <w:szCs w:val="22"/>
          <w:lang w:val="en-US"/>
        </w:rPr>
        <w:t>ki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mevcut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zorluk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yaşanan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noktalar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sorunlar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 w:rsidRPr="00953C67">
        <w:rPr>
          <w:rFonts w:asciiTheme="minorHAnsi" w:hAnsiTheme="minorHAnsi"/>
          <w:sz w:val="22"/>
          <w:szCs w:val="22"/>
          <w:lang w:val="en-US"/>
        </w:rPr>
        <w:t>hazırlanmıştır</w:t>
      </w:r>
      <w:proofErr w:type="spellEnd"/>
      <w:r w:rsidR="00953C67" w:rsidRPr="00953C67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Bunların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başında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ortakların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rolü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iş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piyasasının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taleplerine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uymayan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müfredat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53C67">
        <w:rPr>
          <w:rFonts w:asciiTheme="minorHAnsi" w:hAnsiTheme="minorHAnsi"/>
          <w:sz w:val="22"/>
          <w:szCs w:val="22"/>
          <w:lang w:val="en-US"/>
        </w:rPr>
        <w:t>gelmektedir</w:t>
      </w:r>
      <w:proofErr w:type="spellEnd"/>
      <w:r w:rsidR="00953C67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544198" w:rsidRDefault="006339E3" w:rsidP="00544198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Pilotlama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/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İyi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uygulama</w:t>
      </w:r>
      <w:proofErr w:type="spellEnd"/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Önceki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bölümün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aksine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bu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bölümde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güçlü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veya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 w:rsid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>
        <w:rPr>
          <w:rFonts w:asciiTheme="minorHAnsi" w:hAnsiTheme="minorHAnsi"/>
          <w:sz w:val="22"/>
          <w:szCs w:val="22"/>
          <w:lang w:val="en-US"/>
        </w:rPr>
        <w:t>ortaklar</w:t>
      </w:r>
      <w:proofErr w:type="spellEnd"/>
      <w:r w:rsid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arasındaki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güçlü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bağlantılar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gibi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iyi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 w:rsidRPr="00544198">
        <w:rPr>
          <w:rFonts w:asciiTheme="minorHAnsi" w:hAnsiTheme="minorHAnsi"/>
          <w:sz w:val="22"/>
          <w:szCs w:val="22"/>
          <w:lang w:val="en-US"/>
        </w:rPr>
        <w:t>uygulamalar</w:t>
      </w:r>
      <w:proofErr w:type="spellEnd"/>
      <w:r w:rsidR="00544198" w:rsidRP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>
        <w:rPr>
          <w:rFonts w:asciiTheme="minorHAnsi" w:hAnsiTheme="minorHAnsi"/>
          <w:sz w:val="22"/>
          <w:szCs w:val="22"/>
          <w:lang w:val="en-US"/>
        </w:rPr>
        <w:t>ele</w:t>
      </w:r>
      <w:proofErr w:type="spellEnd"/>
      <w:r w:rsidR="00544198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4198">
        <w:rPr>
          <w:rFonts w:asciiTheme="minorHAnsi" w:hAnsiTheme="minorHAnsi"/>
          <w:sz w:val="22"/>
          <w:szCs w:val="22"/>
          <w:lang w:val="en-US"/>
        </w:rPr>
        <w:t>alınmaktadır</w:t>
      </w:r>
      <w:proofErr w:type="spellEnd"/>
      <w:r w:rsidR="0054419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AB26A3" w:rsidRDefault="00544198" w:rsidP="00AB26A3">
      <w:pPr>
        <w:pStyle w:val="Default"/>
        <w:numPr>
          <w:ilvl w:val="0"/>
          <w:numId w:val="7"/>
        </w:numPr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Tavsiyeler</w:t>
      </w:r>
      <w:proofErr w:type="spellEnd"/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81011" w:rsidRPr="00C81011">
        <w:rPr>
          <w:rFonts w:asciiTheme="minorHAnsi" w:hAnsiTheme="minorHAnsi"/>
          <w:sz w:val="22"/>
          <w:szCs w:val="22"/>
          <w:lang w:val="en-US"/>
        </w:rPr>
        <w:sym w:font="Wingdings" w:char="F0E0"/>
      </w:r>
      <w:r w:rsidR="00C81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Bu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bölüm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AB26A3">
        <w:rPr>
          <w:rFonts w:asciiTheme="minorHAnsi" w:hAnsiTheme="minorHAnsi"/>
          <w:sz w:val="22"/>
          <w:szCs w:val="22"/>
          <w:lang w:val="en-US"/>
        </w:rPr>
        <w:t>ele</w:t>
      </w:r>
      <w:proofErr w:type="spellEnd"/>
      <w:r w:rsid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>
        <w:rPr>
          <w:rFonts w:asciiTheme="minorHAnsi" w:hAnsiTheme="minorHAnsi"/>
          <w:sz w:val="22"/>
          <w:szCs w:val="22"/>
          <w:lang w:val="en-US"/>
        </w:rPr>
        <w:t>alınan</w:t>
      </w:r>
      <w:proofErr w:type="spellEnd"/>
      <w:r w:rsid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>
        <w:rPr>
          <w:rFonts w:asciiTheme="minorHAnsi" w:hAnsiTheme="minorHAnsi"/>
          <w:sz w:val="22"/>
          <w:szCs w:val="22"/>
          <w:lang w:val="en-US"/>
        </w:rPr>
        <w:t>kavramların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için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öneriler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fikirler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çözümler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sunmaya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çalışmaktadır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. Her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ortak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ülkeye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yönelik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olsa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da,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diğer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bağlamlara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ülkelere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tercüme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edebilecek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26A3" w:rsidRPr="00AB26A3">
        <w:rPr>
          <w:rFonts w:asciiTheme="minorHAnsi" w:hAnsiTheme="minorHAnsi"/>
          <w:sz w:val="22"/>
          <w:szCs w:val="22"/>
          <w:lang w:val="en-US"/>
        </w:rPr>
        <w:t>fikirler</w:t>
      </w:r>
      <w:proofErr w:type="spellEnd"/>
      <w:r w:rsidR="00AB26A3" w:rsidRPr="00AB26A3">
        <w:rPr>
          <w:rFonts w:asciiTheme="minorHAnsi" w:hAnsiTheme="minorHAnsi"/>
          <w:sz w:val="22"/>
          <w:szCs w:val="22"/>
          <w:lang w:val="en-US"/>
        </w:rPr>
        <w:t xml:space="preserve"> var.</w:t>
      </w:r>
    </w:p>
    <w:p w:rsidR="00532B65" w:rsidRPr="00D82C6E" w:rsidRDefault="004A37D3" w:rsidP="00D82C6E">
      <w:pPr>
        <w:pStyle w:val="Default"/>
        <w:spacing w:before="24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VETriangle'ın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ilk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çıktısı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farklı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sistemlerine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ilişkin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bakış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sağlar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sosyal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ortakların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önemli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katılımını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inceler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. İlk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sonuç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her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sistemin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ikili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eğitimin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unsurlarının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uygulanmasında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kendine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özgü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yöntemi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olduğuna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dikkat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çekilebilir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halihazırda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oturmuş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yapılarken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bazıları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iyileştirilmesi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gereken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bazı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alan</w:t>
      </w:r>
      <w:r>
        <w:rPr>
          <w:rFonts w:asciiTheme="minorHAnsi" w:hAnsiTheme="minorHAnsi"/>
          <w:sz w:val="22"/>
          <w:szCs w:val="22"/>
          <w:lang w:val="en-US"/>
        </w:rPr>
        <w:t>lar</w:t>
      </w:r>
      <w:r w:rsidRPr="004A37D3">
        <w:rPr>
          <w:rFonts w:asciiTheme="minorHAnsi" w:hAnsiTheme="minorHAnsi"/>
          <w:sz w:val="22"/>
          <w:szCs w:val="22"/>
          <w:lang w:val="en-US"/>
        </w:rPr>
        <w:t>a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sahiptir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Ayrıntılar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VETriangle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projesinin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web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sitesinde</w:t>
      </w:r>
      <w:proofErr w:type="spellEnd"/>
      <w:r w:rsidRPr="004A37D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A37D3">
        <w:rPr>
          <w:rFonts w:asciiTheme="minorHAnsi" w:hAnsiTheme="minorHAnsi"/>
          <w:sz w:val="22"/>
          <w:szCs w:val="22"/>
          <w:lang w:val="en-US"/>
        </w:rPr>
        <w:t>bulunabilir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7" w:history="1">
        <w:r w:rsidR="00FD085D" w:rsidRPr="001A068F">
          <w:rPr>
            <w:rStyle w:val="Kpr"/>
            <w:rFonts w:asciiTheme="minorHAnsi" w:hAnsiTheme="minorHAnsi"/>
            <w:sz w:val="22"/>
            <w:szCs w:val="22"/>
            <w:lang w:val="en-US"/>
          </w:rPr>
          <w:t>http://vetriangle.eu/</w:t>
        </w:r>
      </w:hyperlink>
      <w:r w:rsidR="00FD085D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532B65" w:rsidRPr="00D82C6E" w:rsidSect="006A37F9">
      <w:headerReference w:type="default" r:id="rId8"/>
      <w:footerReference w:type="default" r:id="rId9"/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06" w:rsidRDefault="00802806" w:rsidP="00013907">
      <w:pPr>
        <w:spacing w:after="0" w:line="240" w:lineRule="auto"/>
      </w:pPr>
      <w:r>
        <w:separator/>
      </w:r>
    </w:p>
  </w:endnote>
  <w:endnote w:type="continuationSeparator" w:id="0">
    <w:p w:rsidR="00802806" w:rsidRDefault="00802806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88" w:rsidRDefault="00750888" w:rsidP="006D6F2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06" w:rsidRDefault="00802806" w:rsidP="00013907">
      <w:pPr>
        <w:spacing w:after="0" w:line="240" w:lineRule="auto"/>
      </w:pPr>
      <w:r>
        <w:separator/>
      </w:r>
    </w:p>
  </w:footnote>
  <w:footnote w:type="continuationSeparator" w:id="0">
    <w:p w:rsidR="00802806" w:rsidRDefault="00802806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88" w:rsidRDefault="00750888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1E4A3A3" wp14:editId="3B6652B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0E6"/>
    <w:multiLevelType w:val="hybridMultilevel"/>
    <w:tmpl w:val="F3AA769C"/>
    <w:lvl w:ilvl="0" w:tplc="BB460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247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CCE0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4CD9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A0F7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0488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16F5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3E36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A9F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1182D"/>
    <w:multiLevelType w:val="hybridMultilevel"/>
    <w:tmpl w:val="63C04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7CE5"/>
    <w:multiLevelType w:val="hybridMultilevel"/>
    <w:tmpl w:val="17C8B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49CA"/>
    <w:multiLevelType w:val="hybridMultilevel"/>
    <w:tmpl w:val="F7589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64"/>
    <w:multiLevelType w:val="hybridMultilevel"/>
    <w:tmpl w:val="A95CA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5356"/>
    <w:multiLevelType w:val="hybridMultilevel"/>
    <w:tmpl w:val="8ADA3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19D6"/>
    <w:multiLevelType w:val="hybridMultilevel"/>
    <w:tmpl w:val="97A88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1A8ECF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214D"/>
    <w:multiLevelType w:val="hybridMultilevel"/>
    <w:tmpl w:val="9F506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4CFD"/>
    <w:multiLevelType w:val="hybridMultilevel"/>
    <w:tmpl w:val="A95CA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07"/>
    <w:rsid w:val="00013907"/>
    <w:rsid w:val="000A699F"/>
    <w:rsid w:val="000D0BB0"/>
    <w:rsid w:val="00112C8B"/>
    <w:rsid w:val="001210CE"/>
    <w:rsid w:val="00132C2C"/>
    <w:rsid w:val="001B46F5"/>
    <w:rsid w:val="00206115"/>
    <w:rsid w:val="002224A8"/>
    <w:rsid w:val="00254EB0"/>
    <w:rsid w:val="002E62A6"/>
    <w:rsid w:val="002F7C45"/>
    <w:rsid w:val="00371867"/>
    <w:rsid w:val="00390230"/>
    <w:rsid w:val="003B0534"/>
    <w:rsid w:val="003F13E6"/>
    <w:rsid w:val="00442B43"/>
    <w:rsid w:val="004A37D3"/>
    <w:rsid w:val="00532B65"/>
    <w:rsid w:val="00544198"/>
    <w:rsid w:val="005E662E"/>
    <w:rsid w:val="006139C9"/>
    <w:rsid w:val="006307AC"/>
    <w:rsid w:val="006339E3"/>
    <w:rsid w:val="00643DBC"/>
    <w:rsid w:val="006A37F9"/>
    <w:rsid w:val="006D6F20"/>
    <w:rsid w:val="00732E82"/>
    <w:rsid w:val="0074310B"/>
    <w:rsid w:val="00750888"/>
    <w:rsid w:val="00763409"/>
    <w:rsid w:val="007919B7"/>
    <w:rsid w:val="00802806"/>
    <w:rsid w:val="00815C91"/>
    <w:rsid w:val="008842E5"/>
    <w:rsid w:val="008C1585"/>
    <w:rsid w:val="008E4E31"/>
    <w:rsid w:val="00953C67"/>
    <w:rsid w:val="00954ED5"/>
    <w:rsid w:val="009A3B76"/>
    <w:rsid w:val="00A60818"/>
    <w:rsid w:val="00A86399"/>
    <w:rsid w:val="00AA037D"/>
    <w:rsid w:val="00AB26A3"/>
    <w:rsid w:val="00AD7E56"/>
    <w:rsid w:val="00B25CB4"/>
    <w:rsid w:val="00B95C92"/>
    <w:rsid w:val="00C30859"/>
    <w:rsid w:val="00C71554"/>
    <w:rsid w:val="00C81011"/>
    <w:rsid w:val="00D403B6"/>
    <w:rsid w:val="00D456A6"/>
    <w:rsid w:val="00D82C6E"/>
    <w:rsid w:val="00E25EE6"/>
    <w:rsid w:val="00E75166"/>
    <w:rsid w:val="00F72A5B"/>
    <w:rsid w:val="00FD085D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EB50AC-6D06-4689-9931-815552D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907"/>
  </w:style>
  <w:style w:type="paragraph" w:styleId="Altbilgi">
    <w:name w:val="footer"/>
    <w:basedOn w:val="Normal"/>
    <w:link w:val="AltbilgiChar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D085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32B65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802">
          <w:marLeft w:val="72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triangl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Polska Agencja Rozwoju Przedsiębiorczości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Kocaeli Milli Eğitim Müdürlüğü PEK - Projeler Ekibi</cp:lastModifiedBy>
  <cp:revision>27</cp:revision>
  <dcterms:created xsi:type="dcterms:W3CDTF">2017-12-18T07:38:00Z</dcterms:created>
  <dcterms:modified xsi:type="dcterms:W3CDTF">2018-01-11T07:56:00Z</dcterms:modified>
</cp:coreProperties>
</file>